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514"/>
        <w:tblOverlap w:val="never"/>
        <w:tblW w:w="8903" w:type="dxa"/>
        <w:jc w:val="center"/>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6"/>
        <w:gridCol w:w="3169"/>
        <w:gridCol w:w="2019"/>
        <w:gridCol w:w="2019"/>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865" w:type="dxa"/>
            <w:gridSpan w:val="2"/>
            <w:tcBorders>
              <w:top w:val="single" w:color="000000" w:sz="12" w:space="0"/>
              <w:bottom w:val="single" w:color="000000" w:sz="12" w:space="0"/>
              <w:right w:val="nil"/>
            </w:tcBorders>
            <w:vAlign w:val="center"/>
          </w:tcPr>
          <w:p>
            <w:pPr>
              <w:rPr>
                <w:rFonts w:hint="default" w:ascii="Arial" w:hAnsi="Arial" w:eastAsia="宋体" w:cs="Arial"/>
                <w:b/>
                <w:sz w:val="30"/>
                <w:szCs w:val="30"/>
                <w:lang w:val="en-US" w:eastAsia="zh-CN"/>
              </w:rPr>
            </w:pPr>
            <w:r>
              <w:rPr>
                <w:rFonts w:hint="default" w:ascii="Times New Roman" w:hAnsi="Times New Roman" w:cs="Times New Roman"/>
                <w:b/>
                <w:sz w:val="30"/>
                <w:szCs w:val="30"/>
              </w:rPr>
              <w:t>Actmix</w:t>
            </w:r>
            <w:r>
              <w:rPr>
                <w:rFonts w:hint="eastAsia" w:ascii="Times New Roman" w:hAnsi="Times New Roman" w:cs="Times New Roman"/>
                <w:b/>
                <w:sz w:val="30"/>
                <w:szCs w:val="30"/>
                <w:vertAlign w:val="baseline"/>
                <w:lang w:val="en-US" w:eastAsia="zh-CN"/>
              </w:rPr>
              <w:t xml:space="preserve"> </w:t>
            </w:r>
            <w:r>
              <w:rPr>
                <w:rFonts w:hint="eastAsia" w:ascii="Times New Roman" w:hAnsi="Times New Roman" w:cs="Times New Roman"/>
                <w:b/>
                <w:sz w:val="30"/>
                <w:szCs w:val="30"/>
                <w:lang w:val="en-US" w:eastAsia="zh-CN"/>
              </w:rPr>
              <w:t>TMV</w:t>
            </w:r>
          </w:p>
        </w:tc>
        <w:tc>
          <w:tcPr>
            <w:tcW w:w="4038" w:type="dxa"/>
            <w:gridSpan w:val="2"/>
            <w:tcBorders>
              <w:top w:val="single" w:color="000000" w:sz="12" w:space="0"/>
              <w:left w:val="nil"/>
              <w:bottom w:val="single" w:color="000000" w:sz="12" w:space="0"/>
            </w:tcBorders>
            <w:vAlign w:val="center"/>
          </w:tcPr>
          <w:p>
            <w:pPr>
              <w:jc w:val="right"/>
              <w:rPr>
                <w:rFonts w:ascii="Times New Roman" w:hAnsi="Times New Roman"/>
                <w:sz w:val="30"/>
                <w:szCs w:val="30"/>
              </w:rPr>
            </w:pPr>
            <w:r>
              <w:rPr>
                <w:rFonts w:hint="eastAsia" w:ascii="Times New Roman" w:hAnsi="Times New Roman"/>
                <w:b w:val="0"/>
                <w:bCs w:val="0"/>
                <w:sz w:val="30"/>
                <w:szCs w:val="30"/>
                <w:lang w:eastAsia="zh-CN"/>
              </w:rPr>
              <w:t>内脱模剂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3" w:type="dxa"/>
            <w:gridSpan w:val="4"/>
            <w:tcBorders>
              <w:top w:val="single" w:color="000000" w:sz="12" w:space="0"/>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imes New Roman" w:hAnsi="Times New Roman" w:cs="Times New Roman"/>
                <w:sz w:val="24"/>
                <w:szCs w:val="24"/>
                <w:lang w:val="en-US" w:eastAsia="zh-CN"/>
              </w:rPr>
            </w:pPr>
            <w:r>
              <w:rPr>
                <w:rFonts w:hint="eastAsia" w:ascii="Times New Roman" w:hAnsi="Times New Roman"/>
                <w:b/>
                <w:sz w:val="24"/>
                <w:szCs w:val="24"/>
                <w:lang w:val="en-US" w:eastAsia="zh-CN"/>
              </w:rPr>
              <w:t>产品说明</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CAS No.：</w:t>
            </w:r>
          </w:p>
        </w:tc>
        <w:tc>
          <w:tcPr>
            <w:tcW w:w="3169" w:type="dxa"/>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106233-09-4</w:t>
            </w:r>
          </w:p>
        </w:tc>
        <w:tc>
          <w:tcPr>
            <w:tcW w:w="2019" w:type="dxa"/>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EINECS No.：</w:t>
            </w:r>
          </w:p>
        </w:tc>
        <w:tc>
          <w:tcPr>
            <w:tcW w:w="2019" w:type="dxa"/>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黑体" w:cs="Times New Roman"/>
                <w:sz w:val="24"/>
                <w:szCs w:val="24"/>
              </w:rPr>
              <w:t xml:space="preserve">500-295-0 </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restart"/>
            <w:tcBorders>
              <w:top w:val="single" w:color="000000" w:sz="12" w:space="0"/>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b/>
                <w:sz w:val="24"/>
                <w:szCs w:val="24"/>
                <w:lang w:eastAsia="zh-CN"/>
              </w:rPr>
            </w:pPr>
            <w:r>
              <w:rPr>
                <w:rFonts w:hint="eastAsia" w:ascii="Times New Roman" w:hAnsi="Times New Roman"/>
                <w:b w:val="0"/>
                <w:bCs/>
                <w:sz w:val="24"/>
                <w:szCs w:val="24"/>
                <w:lang w:eastAsia="zh-CN"/>
              </w:rPr>
              <w:t>物化性质：</w:t>
            </w:r>
          </w:p>
        </w:tc>
        <w:tc>
          <w:tcPr>
            <w:tcW w:w="3169"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组成</w:t>
            </w:r>
          </w:p>
        </w:tc>
        <w:tc>
          <w:tcPr>
            <w:tcW w:w="4038"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有机磷酸酯</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312" w:beforeLines="100" w:after="156" w:afterLines="50" w:line="300" w:lineRule="auto"/>
              <w:textAlignment w:val="auto"/>
              <w:rPr>
                <w:rFonts w:ascii="Times New Roman" w:hAnsi="Times New Roman"/>
                <w:b/>
                <w:sz w:val="24"/>
                <w:szCs w:val="24"/>
              </w:rPr>
            </w:pPr>
          </w:p>
        </w:tc>
        <w:tc>
          <w:tcPr>
            <w:tcW w:w="31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外观</w:t>
            </w:r>
          </w:p>
        </w:tc>
        <w:tc>
          <w:tcPr>
            <w:tcW w:w="403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黄色至白色颗粒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312" w:beforeLines="100" w:after="156" w:afterLines="50" w:line="300" w:lineRule="auto"/>
              <w:textAlignment w:val="auto"/>
              <w:rPr>
                <w:rFonts w:ascii="Times New Roman" w:hAnsi="Times New Roman"/>
                <w:b/>
                <w:sz w:val="24"/>
                <w:szCs w:val="24"/>
              </w:rPr>
            </w:pPr>
          </w:p>
        </w:tc>
        <w:tc>
          <w:tcPr>
            <w:tcW w:w="31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熔点</w:t>
            </w:r>
            <w:r>
              <w:rPr>
                <w:rFonts w:hint="eastAsia" w:ascii="Times New Roman" w:hAnsi="Times New Roman" w:cs="Times New Roman"/>
                <w:sz w:val="24"/>
                <w:szCs w:val="24"/>
                <w:lang w:val="en-US" w:eastAsia="zh-CN"/>
              </w:rPr>
              <w:t>/℃</w:t>
            </w:r>
          </w:p>
        </w:tc>
        <w:tc>
          <w:tcPr>
            <w:tcW w:w="403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50-60</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312" w:beforeLines="100" w:after="156" w:afterLines="50" w:line="300" w:lineRule="auto"/>
              <w:textAlignment w:val="auto"/>
              <w:rPr>
                <w:rFonts w:ascii="Times New Roman" w:hAnsi="Times New Roman"/>
                <w:b/>
                <w:sz w:val="24"/>
                <w:szCs w:val="24"/>
              </w:rPr>
            </w:pPr>
          </w:p>
        </w:tc>
        <w:tc>
          <w:tcPr>
            <w:tcW w:w="31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密度</w:t>
            </w:r>
            <w:r>
              <w:rPr>
                <w:rFonts w:hint="eastAsia" w:ascii="Times New Roman" w:hAnsi="Times New Roman" w:cs="Times New Roman"/>
                <w:color w:val="000000" w:themeColor="text1"/>
                <w:sz w:val="24"/>
                <w:szCs w:val="24"/>
                <w:lang w:val="en-US" w:eastAsia="zh-CN"/>
              </w:rPr>
              <w:t>,g/cm</w:t>
            </w:r>
            <w:r>
              <w:rPr>
                <w:rFonts w:hint="eastAsia" w:ascii="Times New Roman" w:hAnsi="Times New Roman" w:cs="Times New Roman"/>
                <w:color w:val="000000" w:themeColor="text1"/>
                <w:sz w:val="24"/>
                <w:szCs w:val="24"/>
                <w:vertAlign w:val="superscript"/>
                <w:lang w:val="en-US" w:eastAsia="zh-CN"/>
              </w:rPr>
              <w:t>3</w:t>
            </w:r>
          </w:p>
        </w:tc>
        <w:tc>
          <w:tcPr>
            <w:tcW w:w="403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0.95-1.0</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312" w:beforeLines="100" w:after="156" w:afterLines="50" w:line="300" w:lineRule="auto"/>
              <w:textAlignment w:val="auto"/>
              <w:rPr>
                <w:rFonts w:ascii="Times New Roman" w:hAnsi="Times New Roman"/>
                <w:b/>
                <w:sz w:val="24"/>
                <w:szCs w:val="24"/>
              </w:rPr>
            </w:pPr>
          </w:p>
        </w:tc>
        <w:tc>
          <w:tcPr>
            <w:tcW w:w="31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color w:val="000000" w:themeColor="text1"/>
                <w:sz w:val="24"/>
                <w:szCs w:val="24"/>
              </w:rPr>
            </w:pPr>
            <w:r>
              <w:rPr>
                <w:rFonts w:hint="eastAsia" w:ascii="Times New Roman" w:hAnsi="Times New Roman" w:cs="Times New Roman"/>
                <w:sz w:val="24"/>
                <w:szCs w:val="24"/>
                <w:lang w:val="en-US" w:eastAsia="zh-CN"/>
              </w:rPr>
              <w:t>闪点/℃,≤</w:t>
            </w:r>
          </w:p>
        </w:tc>
        <w:tc>
          <w:tcPr>
            <w:tcW w:w="403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color w:val="000000" w:themeColor="text1"/>
                <w:sz w:val="24"/>
                <w:szCs w:val="24"/>
                <w:lang w:val="en-US" w:eastAsia="zh-CN"/>
              </w:rPr>
            </w:pPr>
            <w:r>
              <w:rPr>
                <w:rFonts w:hint="eastAsia" w:ascii="Times New Roman" w:hAnsi="Times New Roman" w:cs="Times New Roman"/>
                <w:sz w:val="24"/>
                <w:szCs w:val="24"/>
                <w:lang w:val="en-US" w:eastAsia="zh-CN"/>
              </w:rPr>
              <w:t>100</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312" w:beforeLines="100" w:after="156" w:afterLines="50" w:line="300" w:lineRule="auto"/>
              <w:textAlignment w:val="auto"/>
              <w:rPr>
                <w:rFonts w:ascii="Times New Roman" w:hAnsi="Times New Roman"/>
                <w:b/>
                <w:sz w:val="24"/>
                <w:szCs w:val="24"/>
              </w:rPr>
            </w:pPr>
          </w:p>
        </w:tc>
        <w:tc>
          <w:tcPr>
            <w:tcW w:w="31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eastAsia="zh-CN"/>
              </w:rPr>
              <w:t>水分</w:t>
            </w:r>
            <w:r>
              <w:rPr>
                <w:rFonts w:hint="eastAsia" w:ascii="Times New Roman" w:hAnsi="Times New Roman" w:cs="Times New Roman"/>
                <w:sz w:val="24"/>
                <w:szCs w:val="24"/>
                <w:lang w:val="en-US" w:eastAsia="zh-CN"/>
              </w:rPr>
              <w:t>/%,≤</w:t>
            </w:r>
          </w:p>
        </w:tc>
        <w:tc>
          <w:tcPr>
            <w:tcW w:w="403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1.0</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312" w:beforeLines="100" w:after="156" w:afterLines="50" w:line="300" w:lineRule="auto"/>
              <w:textAlignment w:val="auto"/>
              <w:rPr>
                <w:rFonts w:ascii="Times New Roman" w:hAnsi="Times New Roman"/>
                <w:b/>
                <w:sz w:val="24"/>
                <w:szCs w:val="24"/>
              </w:rPr>
            </w:pPr>
          </w:p>
        </w:tc>
        <w:tc>
          <w:tcPr>
            <w:tcW w:w="31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酸值/m</w:t>
            </w:r>
            <w:r>
              <w:rPr>
                <w:rFonts w:hint="default" w:ascii="Times New Roman" w:hAnsi="Times New Roman" w:cs="Times New Roman"/>
                <w:sz w:val="24"/>
                <w:szCs w:val="24"/>
                <w:lang w:val="en-US" w:eastAsia="zh-CN"/>
              </w:rPr>
              <w:t>g·</w:t>
            </w:r>
            <w:r>
              <w:rPr>
                <w:rFonts w:hint="eastAsia" w:ascii="Times New Roman" w:hAnsi="Times New Roman" w:cs="Times New Roman"/>
                <w:sz w:val="24"/>
                <w:szCs w:val="24"/>
                <w:lang w:val="en-US" w:eastAsia="zh-CN"/>
              </w:rPr>
              <w:t>KOH/g</w:t>
            </w:r>
          </w:p>
        </w:tc>
        <w:tc>
          <w:tcPr>
            <w:tcW w:w="403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150-180</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312" w:beforeLines="100" w:after="156" w:afterLines="50" w:line="300" w:lineRule="auto"/>
              <w:textAlignment w:val="auto"/>
              <w:rPr>
                <w:rFonts w:ascii="Times New Roman" w:hAnsi="Times New Roman"/>
                <w:b/>
                <w:sz w:val="24"/>
                <w:szCs w:val="24"/>
              </w:rPr>
            </w:pPr>
          </w:p>
        </w:tc>
        <w:tc>
          <w:tcPr>
            <w:tcW w:w="31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color w:val="000000" w:themeColor="text1"/>
                <w:sz w:val="24"/>
                <w:szCs w:val="24"/>
              </w:rPr>
            </w:pPr>
            <w:r>
              <w:rPr>
                <w:rFonts w:hint="eastAsia" w:ascii="Times New Roman" w:hAnsi="Times New Roman" w:cs="Times New Roman"/>
                <w:color w:val="000000" w:themeColor="text1"/>
                <w:sz w:val="24"/>
                <w:szCs w:val="24"/>
                <w:lang w:eastAsia="zh-CN"/>
              </w:rPr>
              <w:t>重金属含量</w:t>
            </w:r>
            <w:r>
              <w:rPr>
                <w:rFonts w:hint="eastAsia" w:ascii="Times New Roman" w:hAnsi="Times New Roman" w:cs="Times New Roman"/>
                <w:color w:val="000000" w:themeColor="text1"/>
                <w:sz w:val="24"/>
                <w:szCs w:val="24"/>
                <w:lang w:val="en-US" w:eastAsia="zh-CN"/>
              </w:rPr>
              <w:t>/ppm,</w:t>
            </w:r>
            <w:r>
              <w:rPr>
                <w:rFonts w:hint="eastAsia" w:ascii="Times New Roman" w:hAnsi="Times New Roman" w:cs="Times New Roman"/>
                <w:sz w:val="24"/>
                <w:szCs w:val="24"/>
                <w:lang w:val="en-US" w:eastAsia="zh-CN"/>
              </w:rPr>
              <w:t>≤</w:t>
            </w:r>
          </w:p>
        </w:tc>
        <w:tc>
          <w:tcPr>
            <w:tcW w:w="403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10</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3" w:type="dxa"/>
            <w:gridSpan w:val="4"/>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Times New Roman" w:hAnsi="Times New Roman"/>
                <w:sz w:val="24"/>
                <w:szCs w:val="24"/>
              </w:rPr>
            </w:pPr>
            <w:r>
              <w:rPr>
                <w:rFonts w:hint="eastAsia" w:ascii="Times New Roman" w:hAnsi="Times New Roman"/>
                <w:b/>
                <w:sz w:val="24"/>
                <w:szCs w:val="24"/>
              </w:rPr>
              <w:t>应用资料</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性能：</w:t>
            </w:r>
          </w:p>
        </w:tc>
        <w:tc>
          <w:tcPr>
            <w:tcW w:w="7207"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与极性橡胶具有良好的相容性</w:t>
            </w:r>
            <w:r>
              <w:rPr>
                <w:rFonts w:hint="eastAsia" w:ascii="Times New Roman" w:hAnsi="Times New Roman" w:cs="Times New Roman"/>
                <w:sz w:val="24"/>
                <w:szCs w:val="24"/>
                <w:lang w:val="en-US" w:eastAsia="zh-CN"/>
              </w:rPr>
              <w:t>；可溶于水和极性溶剂。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4" w:hRule="atLeast"/>
          <w:jc w:val="center"/>
        </w:trPr>
        <w:tc>
          <w:tcPr>
            <w:tcW w:w="1696"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用途：</w:t>
            </w:r>
          </w:p>
        </w:tc>
        <w:tc>
          <w:tcPr>
            <w:tcW w:w="7207"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TMV作为</w:t>
            </w:r>
            <w:r>
              <w:rPr>
                <w:rFonts w:hint="default" w:ascii="Times New Roman" w:hAnsi="Times New Roman" w:cs="Times New Roman"/>
                <w:sz w:val="24"/>
                <w:szCs w:val="24"/>
              </w:rPr>
              <w:t>丙烯酸酯橡胶</w:t>
            </w:r>
            <w:r>
              <w:rPr>
                <w:rFonts w:hint="eastAsia" w:ascii="Times New Roman" w:hAnsi="Times New Roman" w:cs="Times New Roman"/>
                <w:sz w:val="24"/>
                <w:szCs w:val="24"/>
                <w:lang w:eastAsia="zh-CN"/>
              </w:rPr>
              <w:t>的</w:t>
            </w:r>
            <w:r>
              <w:rPr>
                <w:rFonts w:hint="default" w:ascii="Times New Roman" w:hAnsi="Times New Roman" w:cs="Times New Roman"/>
                <w:sz w:val="24"/>
                <w:szCs w:val="24"/>
              </w:rPr>
              <w:t>加工助剂，</w:t>
            </w:r>
            <w:r>
              <w:rPr>
                <w:rFonts w:hint="eastAsia" w:ascii="Times New Roman" w:hAnsi="Times New Roman" w:cs="Times New Roman"/>
                <w:sz w:val="24"/>
                <w:szCs w:val="24"/>
                <w:lang w:eastAsia="zh-CN"/>
              </w:rPr>
              <w:t>有</w:t>
            </w:r>
            <w:r>
              <w:rPr>
                <w:rFonts w:hint="default" w:ascii="Times New Roman" w:hAnsi="Times New Roman" w:cs="Times New Roman"/>
                <w:sz w:val="24"/>
                <w:szCs w:val="24"/>
              </w:rPr>
              <w:t>良好</w:t>
            </w:r>
            <w:r>
              <w:rPr>
                <w:rFonts w:hint="eastAsia" w:ascii="Times New Roman" w:hAnsi="Times New Roman" w:cs="Times New Roman"/>
                <w:sz w:val="24"/>
                <w:szCs w:val="24"/>
                <w:lang w:eastAsia="zh-CN"/>
              </w:rPr>
              <w:t>的</w:t>
            </w:r>
            <w:r>
              <w:rPr>
                <w:rFonts w:hint="default" w:ascii="Times New Roman" w:hAnsi="Times New Roman" w:cs="Times New Roman"/>
                <w:sz w:val="24"/>
                <w:szCs w:val="24"/>
              </w:rPr>
              <w:t>脱模效果；1~2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phr TMV就可以显著提高</w:t>
            </w:r>
            <w:r>
              <w:rPr>
                <w:rFonts w:hint="eastAsia" w:ascii="Times New Roman" w:hAnsi="Times New Roman" w:cs="Times New Roman"/>
                <w:sz w:val="24"/>
                <w:szCs w:val="24"/>
                <w:lang w:eastAsia="zh-CN"/>
              </w:rPr>
              <w:t>胶料的</w:t>
            </w:r>
            <w:r>
              <w:rPr>
                <w:rFonts w:hint="default" w:ascii="Times New Roman" w:hAnsi="Times New Roman" w:cs="Times New Roman"/>
                <w:sz w:val="24"/>
                <w:szCs w:val="24"/>
              </w:rPr>
              <w:t>脱模性能，减少脱模困难导致的物性下降和形变；</w:t>
            </w:r>
            <w:r>
              <w:rPr>
                <w:rFonts w:hint="eastAsia" w:ascii="Times New Roman" w:hAnsi="Times New Roman" w:cs="Times New Roman"/>
                <w:sz w:val="24"/>
                <w:szCs w:val="24"/>
                <w:lang w:val="en-US" w:eastAsia="zh-CN"/>
              </w:rPr>
              <w:t>TMV也可作为</w:t>
            </w:r>
            <w:r>
              <w:rPr>
                <w:rFonts w:hint="default" w:ascii="Times New Roman" w:hAnsi="Times New Roman" w:cs="Times New Roman"/>
                <w:sz w:val="24"/>
                <w:szCs w:val="24"/>
              </w:rPr>
              <w:t>混炼过程中</w:t>
            </w:r>
            <w:r>
              <w:rPr>
                <w:rFonts w:hint="eastAsia" w:ascii="Times New Roman" w:hAnsi="Times New Roman" w:cs="Times New Roman"/>
                <w:sz w:val="24"/>
                <w:szCs w:val="24"/>
                <w:lang w:eastAsia="zh-CN"/>
              </w:rPr>
              <w:t>的</w:t>
            </w:r>
            <w:r>
              <w:rPr>
                <w:rFonts w:hint="default" w:ascii="Times New Roman" w:hAnsi="Times New Roman" w:cs="Times New Roman"/>
                <w:sz w:val="24"/>
                <w:szCs w:val="24"/>
              </w:rPr>
              <w:t>润滑剂</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可以改善</w:t>
            </w:r>
            <w:r>
              <w:rPr>
                <w:rFonts w:hint="eastAsia" w:ascii="Times New Roman" w:hAnsi="Times New Roman" w:cs="Times New Roman"/>
                <w:sz w:val="24"/>
                <w:szCs w:val="24"/>
                <w:lang w:eastAsia="zh-CN"/>
              </w:rPr>
              <w:t>胶料的</w:t>
            </w:r>
            <w:r>
              <w:rPr>
                <w:rFonts w:hint="default" w:ascii="Times New Roman" w:hAnsi="Times New Roman" w:cs="Times New Roman"/>
                <w:sz w:val="24"/>
                <w:szCs w:val="24"/>
              </w:rPr>
              <w:t>流动性</w:t>
            </w:r>
            <w:r>
              <w:rPr>
                <w:rFonts w:hint="eastAsia" w:ascii="Times New Roman" w:hAnsi="Times New Roman" w:cs="Times New Roman"/>
                <w:sz w:val="24"/>
                <w:szCs w:val="24"/>
                <w:lang w:eastAsia="zh-CN"/>
              </w:rPr>
              <w:t>；与硬脂胺和硬脂酸搭配使用可提高脱模效果；建议使用过程中与填料一起加入。</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用量：</w:t>
            </w:r>
          </w:p>
        </w:tc>
        <w:tc>
          <w:tcPr>
            <w:tcW w:w="7207"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0.5-3 </w:t>
            </w:r>
            <w:r>
              <w:rPr>
                <w:rFonts w:hint="default" w:ascii="Times New Roman" w:hAnsi="Times New Roman" w:cs="Times New Roman"/>
                <w:sz w:val="24"/>
                <w:szCs w:val="24"/>
              </w:rPr>
              <w:t>phr</w:t>
            </w:r>
            <w:r>
              <w:rPr>
                <w:rFonts w:hint="eastAsia" w:ascii="Times New Roman" w:hAnsi="Times New Roman" w:cs="Times New Roman"/>
                <w:sz w:val="24"/>
                <w:szCs w:val="24"/>
                <w:lang w:eastAsia="zh-CN"/>
              </w:rPr>
              <w:t>。</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sz w:val="24"/>
                <w:szCs w:val="24"/>
              </w:rPr>
              <w:t>包装：</w:t>
            </w:r>
          </w:p>
        </w:tc>
        <w:tc>
          <w:tcPr>
            <w:tcW w:w="7207"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内衬PE袋的</w:t>
            </w:r>
            <w:r>
              <w:rPr>
                <w:rFonts w:hint="eastAsia" w:ascii="Times New Roman" w:hAnsi="Times New Roman" w:cs="Times New Roman"/>
                <w:sz w:val="24"/>
                <w:szCs w:val="24"/>
                <w:lang w:eastAsia="zh-CN"/>
              </w:rPr>
              <w:t>复合纸袋</w:t>
            </w:r>
            <w:r>
              <w:rPr>
                <w:rFonts w:hint="default" w:ascii="Times New Roman" w:hAnsi="Times New Roman" w:cs="Times New Roman"/>
                <w:sz w:val="24"/>
                <w:szCs w:val="24"/>
              </w:rPr>
              <w:t>，每</w:t>
            </w:r>
            <w:r>
              <w:rPr>
                <w:rFonts w:hint="eastAsia" w:ascii="Times New Roman" w:hAnsi="Times New Roman" w:cs="Times New Roman"/>
                <w:sz w:val="24"/>
                <w:szCs w:val="24"/>
                <w:lang w:eastAsia="zh-CN"/>
              </w:rPr>
              <w:t>袋</w:t>
            </w:r>
            <w:r>
              <w:rPr>
                <w:rFonts w:hint="default" w:ascii="Times New Roman" w:hAnsi="Times New Roman" w:cs="Times New Roman"/>
                <w:sz w:val="24"/>
                <w:szCs w:val="24"/>
              </w:rPr>
              <w:t>净重25K</w:t>
            </w:r>
            <w:r>
              <w:rPr>
                <w:rFonts w:hint="eastAsia" w:ascii="Times New Roman" w:hAnsi="Times New Roman" w:cs="Times New Roman"/>
                <w:sz w:val="24"/>
                <w:szCs w:val="24"/>
                <w:lang w:val="en-US" w:eastAsia="zh-CN"/>
              </w:rPr>
              <w:t>g</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00</w:t>
            </w:r>
            <w:r>
              <w:rPr>
                <w:rFonts w:hint="eastAsia" w:ascii="Times New Roman" w:hAnsi="Times New Roman" w:cs="Times New Roman"/>
                <w:sz w:val="24"/>
                <w:szCs w:val="24"/>
                <w:lang w:val="en-US" w:eastAsia="zh-CN"/>
              </w:rPr>
              <w:t>Kg</w:t>
            </w:r>
            <w:r>
              <w:rPr>
                <w:rFonts w:hint="default" w:ascii="Times New Roman" w:hAnsi="Times New Roman" w:cs="Times New Roman"/>
                <w:sz w:val="24"/>
                <w:szCs w:val="24"/>
              </w:rPr>
              <w:t>/托盘。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sz w:val="24"/>
                <w:szCs w:val="24"/>
              </w:rPr>
              <w:t>储存：</w:t>
            </w:r>
          </w:p>
        </w:tc>
        <w:tc>
          <w:tcPr>
            <w:tcW w:w="7207"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在阴凉、干燥、通风的地方密封储存</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避免阳光直射。</w:t>
            </w:r>
            <w:bookmarkStart w:id="0" w:name="_GoBack"/>
            <w:bookmarkEnd w:id="0"/>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696" w:type="dxa"/>
            <w:tcBorders>
              <w:top w:val="nil"/>
              <w:left w:val="nil"/>
              <w:bottom w:val="single" w:color="000000"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Times New Roman" w:hAnsi="Times New Roman"/>
                <w:sz w:val="24"/>
                <w:szCs w:val="24"/>
              </w:rPr>
            </w:pPr>
            <w:r>
              <w:rPr>
                <w:rFonts w:hint="eastAsia" w:ascii="Times New Roman" w:hAnsi="Times New Roman"/>
                <w:sz w:val="24"/>
                <w:szCs w:val="24"/>
              </w:rPr>
              <w:t>处置：</w:t>
            </w:r>
          </w:p>
        </w:tc>
        <w:tc>
          <w:tcPr>
            <w:tcW w:w="7207" w:type="dxa"/>
            <w:gridSpan w:val="3"/>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在橡胶加工过程中化学添加剂的工作区域建议</w:t>
            </w:r>
            <w:r>
              <w:rPr>
                <w:rFonts w:hint="eastAsia" w:ascii="Times New Roman" w:hAnsi="Times New Roman" w:cs="Times New Roman"/>
                <w:sz w:val="24"/>
                <w:szCs w:val="24"/>
                <w:lang w:eastAsia="zh-CN"/>
              </w:rPr>
              <w:t>通</w:t>
            </w:r>
            <w:r>
              <w:rPr>
                <w:rFonts w:hint="default" w:ascii="Times New Roman" w:hAnsi="Times New Roman" w:cs="Times New Roman"/>
                <w:sz w:val="24"/>
                <w:szCs w:val="24"/>
              </w:rPr>
              <w:t>风排气，更进一步的处置资料请参考</w:t>
            </w:r>
            <w:r>
              <w:rPr>
                <w:rFonts w:hint="eastAsia" w:ascii="Times New Roman" w:hAnsi="Times New Roman" w:cs="Times New Roman"/>
                <w:bCs/>
                <w:sz w:val="24"/>
                <w:szCs w:val="24"/>
                <w:lang w:val="en-US" w:eastAsia="zh-CN"/>
              </w:rPr>
              <w:t>SDS</w:t>
            </w:r>
            <w:r>
              <w:rPr>
                <w:rFonts w:hint="default" w:ascii="Times New Roman" w:hAnsi="Times New Roman" w:cs="Times New Roman"/>
                <w:sz w:val="24"/>
                <w:szCs w:val="24"/>
              </w:rPr>
              <w:t>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8903" w:type="dxa"/>
            <w:gridSpan w:val="4"/>
            <w:tcBorders>
              <w:top w:val="single" w:color="000000" w:sz="12" w:space="0"/>
              <w:left w:val="nil"/>
              <w:bottom w:val="nil"/>
              <w:right w:val="nil"/>
            </w:tcBorders>
            <w:vAlign w:val="center"/>
          </w:tcPr>
          <w:p>
            <w:pPr>
              <w:spacing w:line="252" w:lineRule="auto"/>
              <w:rPr>
                <w:rFonts w:hAnsi="宋体"/>
                <w:sz w:val="18"/>
                <w:szCs w:val="18"/>
              </w:rPr>
            </w:pP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03" w:type="dxa"/>
            <w:gridSpan w:val="4"/>
            <w:tcBorders>
              <w:top w:val="nil"/>
              <w:left w:val="nil"/>
              <w:bottom w:val="nil"/>
              <w:right w:val="nil"/>
            </w:tcBorders>
            <w:shd w:val="clear" w:color="auto" w:fill="00CC00"/>
            <w:vAlign w:val="center"/>
          </w:tcPr>
          <w:p>
            <w:pPr>
              <w:rPr>
                <w:rFonts w:ascii="Arial" w:hAnsi="Arial" w:cs="Arial"/>
                <w:b/>
                <w:bCs/>
                <w:color w:val="FFFFFF"/>
                <w:sz w:val="24"/>
                <w:szCs w:val="24"/>
              </w:rPr>
            </w:pPr>
            <w:r>
              <w:rPr>
                <w:rFonts w:hint="default" w:ascii="Times New Roman" w:hAnsi="Times New Roman" w:eastAsia="宋体" w:cs="Times New Roman"/>
                <w:b/>
                <w:bCs/>
                <w:color w:val="FFFFFF"/>
                <w:sz w:val="24"/>
                <w:szCs w:val="24"/>
                <w:lang w:val="en-US" w:eastAsia="zh-CN"/>
              </w:rPr>
              <w:t>Actmix</w:t>
            </w:r>
            <w:r>
              <w:rPr>
                <w:rFonts w:hint="default" w:ascii="Times New Roman" w:hAnsi="Times New Roman" w:eastAsia="宋体" w:cs="Times New Roman"/>
                <w:b/>
                <w:bCs/>
                <w:color w:val="FFFFFF"/>
                <w:sz w:val="24"/>
                <w:szCs w:val="24"/>
              </w:rPr>
              <w:t xml:space="preserve"> </w:t>
            </w:r>
            <w:r>
              <w:rPr>
                <w:rFonts w:hint="eastAsia" w:ascii="Times New Roman" w:hAnsi="Times New Roman" w:cs="Times New Roman"/>
                <w:b/>
                <w:bCs/>
                <w:color w:val="FFFFFF"/>
                <w:sz w:val="24"/>
                <w:szCs w:val="24"/>
                <w:lang w:val="en-US" w:eastAsia="zh-CN"/>
              </w:rPr>
              <w:t>TMV</w:t>
            </w:r>
            <w:r>
              <w:rPr>
                <w:rFonts w:hint="default" w:ascii="Times New Roman" w:hAnsi="Times New Roman" w:eastAsia="宋体" w:cs="Times New Roman"/>
                <w:b/>
                <w:bCs/>
                <w:color w:val="FFFFFF"/>
                <w:sz w:val="24"/>
                <w:szCs w:val="24"/>
              </w:rPr>
              <w:t xml:space="preserve">                      </w:t>
            </w:r>
            <w:r>
              <w:rPr>
                <w:rFonts w:hint="eastAsia" w:ascii="Times New Roman" w:hAnsi="Times New Roman" w:cs="Times New Roman"/>
                <w:b/>
                <w:bCs/>
                <w:color w:val="FFFFFF"/>
                <w:sz w:val="24"/>
                <w:szCs w:val="24"/>
                <w:lang w:val="en-US" w:eastAsia="zh-CN"/>
              </w:rPr>
              <w:t xml:space="preserve">         </w:t>
            </w:r>
            <w:r>
              <w:rPr>
                <w:rFonts w:hint="default" w:ascii="Times New Roman" w:hAnsi="Times New Roman" w:eastAsia="宋体" w:cs="Times New Roman"/>
                <w:b/>
                <w:bCs/>
                <w:color w:val="FFFFFF"/>
                <w:sz w:val="24"/>
                <w:szCs w:val="24"/>
              </w:rPr>
              <w:t xml:space="preserve">   </w:t>
            </w:r>
            <w:r>
              <w:rPr>
                <w:rFonts w:hint="default" w:ascii="Times New Roman" w:hAnsi="Times New Roman" w:eastAsia="宋体" w:cs="Times New Roman"/>
                <w:b/>
                <w:bCs/>
                <w:color w:val="FFFFFF"/>
                <w:szCs w:val="21"/>
              </w:rPr>
              <w:t xml:space="preserve">产品技术说明书（TDS） </w:t>
            </w:r>
            <w:r>
              <w:rPr>
                <w:rFonts w:hint="default" w:ascii="Times New Roman" w:hAnsi="Times New Roman" w:eastAsia="宋体" w:cs="Times New Roman"/>
                <w:color w:val="FFFFFF"/>
                <w:szCs w:val="21"/>
              </w:rPr>
              <w:t>版本1.4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highlight w:val="none"/>
          <w:lang w:val="en-US" w:eastAsia="zh-CN"/>
        </w:rPr>
        <w:t>ACT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84</w:t>
      </w:r>
    </w:p>
    <w:sectPr>
      <w:headerReference r:id="rId3" w:type="default"/>
      <w:footerReference r:id="rId4" w:type="default"/>
      <w:pgSz w:w="11906" w:h="16838"/>
      <w:pgMar w:top="1440" w:right="1800" w:bottom="1440" w:left="1800" w:header="1134" w:footer="1134"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Swis721 BlkCn BT">
    <w:panose1 w:val="020B0806030502040204"/>
    <w:charset w:val="00"/>
    <w:family w:val="auto"/>
    <w:pitch w:val="default"/>
    <w:sig w:usb0="00000000" w:usb1="00000000" w:usb2="00000000" w:usb3="00000000" w:csb0="00000000" w:csb1="00000000"/>
  </w:font>
  <w:font w:name="Swis721 Blk BT">
    <w:panose1 w:val="020B09040305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b/>
        <w:bCs w:val="0"/>
        <w:color w:val="008000"/>
        <w:sz w:val="44"/>
        <w:szCs w:val="44"/>
      </w:rPr>
    </w:pPr>
    <w:r>
      <w:rPr>
        <w:rFonts w:hint="eastAsia" w:ascii="宋体" w:hAnsi="宋体" w:eastAsia="宋体" w:cs="宋体"/>
        <w:b/>
        <w:bCs w:val="0"/>
        <w:color w:val="008000"/>
        <w:sz w:val="44"/>
        <w:szCs w:val="44"/>
      </w:rPr>
      <w:t>宁波艾克姆新材料</w:t>
    </w:r>
    <w:r>
      <w:rPr>
        <w:rFonts w:hint="eastAsia" w:ascii="宋体" w:hAnsi="宋体" w:eastAsia="宋体" w:cs="宋体"/>
        <w:b/>
        <w:bCs w:val="0"/>
        <w:color w:val="008000"/>
        <w:sz w:val="44"/>
        <w:szCs w:val="44"/>
        <w:lang w:eastAsia="zh-CN"/>
      </w:rPr>
      <w:t>股份</w:t>
    </w:r>
    <w:r>
      <w:rPr>
        <w:rFonts w:hint="eastAsia" w:ascii="宋体" w:hAnsi="宋体" w:eastAsia="宋体" w:cs="宋体"/>
        <w:b/>
        <w:bCs w:val="0"/>
        <w:color w:val="008000"/>
        <w:sz w:val="44"/>
        <w:szCs w:val="44"/>
      </w:rPr>
      <w:t>有限公司</w:t>
    </w:r>
  </w:p>
  <w:p>
    <w:pPr>
      <w:pStyle w:val="3"/>
      <w:rPr>
        <w:rFonts w:hint="default" w:ascii="Times New Roman" w:hAnsi="Times New Roman" w:eastAsia="宋体" w:cs="Times New Roman"/>
        <w:b/>
        <w:bCs w:val="0"/>
      </w:rPr>
    </w:pPr>
    <w:r>
      <w:rPr>
        <w:rFonts w:hint="default" w:ascii="Times New Roman" w:hAnsi="Times New Roman" w:eastAsia="宋体" w:cs="Times New Roman"/>
        <w:b/>
        <w:bCs w:val="0"/>
        <w:color w:val="008000"/>
        <w:kern w:val="0"/>
      </w:rPr>
      <w:t>电话：</w:t>
    </w:r>
    <w:r>
      <w:rPr>
        <w:rFonts w:hint="default" w:ascii="Times New Roman" w:hAnsi="Times New Roman" w:eastAsia="宋体" w:cs="Times New Roman"/>
        <w:b/>
        <w:bCs w:val="0"/>
        <w:color w:val="008000"/>
      </w:rPr>
      <w:t xml:space="preserve">0574-87468726  </w:t>
    </w:r>
    <w:r>
      <w:rPr>
        <w:rFonts w:hint="default" w:ascii="Times New Roman" w:hAnsi="Times New Roman" w:eastAsia="宋体" w:cs="Times New Roman"/>
        <w:b/>
        <w:bCs w:val="0"/>
        <w:color w:val="008000"/>
        <w:kern w:val="0"/>
      </w:rPr>
      <w:t>传真：</w:t>
    </w:r>
    <w:r>
      <w:rPr>
        <w:rFonts w:hint="default" w:ascii="Times New Roman" w:hAnsi="Times New Roman" w:eastAsia="宋体" w:cs="Times New Roman"/>
        <w:b/>
        <w:bCs w:val="0"/>
        <w:color w:val="008000"/>
      </w:rPr>
      <w:t>0574-88002102  Email：dychem@actmix.cn  网址：</w:t>
    </w:r>
    <w:r>
      <w:rPr>
        <w:rFonts w:hint="default" w:ascii="Times New Roman" w:hAnsi="Times New Roman" w:eastAsia="宋体" w:cs="Times New Roman"/>
        <w:b/>
        <w:bCs w:val="0"/>
        <w:color w:val="008000"/>
        <w:kern w:val="0"/>
      </w:rPr>
      <w:t>www.actmix.cn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default" w:ascii="Arial" w:hAnsi="Arial" w:cs="Arial"/>
        <w:sz w:val="30"/>
        <w:szCs w:val="30"/>
      </w:rPr>
    </w:pPr>
    <w:r>
      <w:rPr>
        <w:rFonts w:hint="default" w:ascii="Arial" w:hAnsi="Arial" w:cs="Arial"/>
        <w:sz w:val="30"/>
        <w:szCs w:val="30"/>
      </w:rPr>
      <w:drawing>
        <wp:anchor distT="0" distB="0" distL="114300" distR="114300" simplePos="0" relativeHeight="1024" behindDoc="0" locked="0" layoutInCell="1" allowOverlap="1">
          <wp:simplePos x="0" y="0"/>
          <wp:positionH relativeFrom="column">
            <wp:posOffset>3112770</wp:posOffset>
          </wp:positionH>
          <wp:positionV relativeFrom="paragraph">
            <wp:posOffset>-233680</wp:posOffset>
          </wp:positionV>
          <wp:extent cx="2303780" cy="656590"/>
          <wp:effectExtent l="0" t="0" r="127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3780" cy="656590"/>
                  </a:xfrm>
                  <a:prstGeom prst="rect">
                    <a:avLst/>
                  </a:prstGeom>
                  <a:noFill/>
                  <a:ln w="9525">
                    <a:noFill/>
                  </a:ln>
                </pic:spPr>
              </pic:pic>
            </a:graphicData>
          </a:graphic>
        </wp:anchor>
      </w:drawing>
    </w:r>
    <w:r>
      <w:rPr>
        <w:rFonts w:hint="default" w:ascii="Arial" w:hAnsi="Arial" w:cs="Arial"/>
        <w:sz w:val="30"/>
        <w:szCs w:val="30"/>
      </w:rPr>
      <w:t>Technical Data Sheet</w:t>
    </w:r>
  </w:p>
  <w:p>
    <w:pPr>
      <w:pStyle w:val="4"/>
      <w:pBdr>
        <w:bottom w:val="none" w:color="auto" w:sz="0" w:space="1"/>
      </w:pBdr>
      <w:jc w:val="left"/>
      <w:rPr>
        <w:rFonts w:hint="default" w:ascii="Times New Roman" w:hAnsi="Times New Roman" w:eastAsia="宋体" w:cs="Times New Roman"/>
        <w:sz w:val="30"/>
        <w:szCs w:val="30"/>
        <w:lang w:val="en-US" w:eastAsia="zh-CN"/>
      </w:rPr>
    </w:pPr>
    <w:r>
      <w:rPr>
        <w:rFonts w:hint="default" w:ascii="Arial" w:hAnsi="Arial" w:cs="Arial"/>
        <w:sz w:val="30"/>
        <w:szCs w:val="30"/>
        <w:lang w:val="en-US" w:eastAsia="zh-CN"/>
      </w:rPr>
      <w:t xml:space="preserve"> </w:t>
    </w:r>
    <w:r>
      <w:rPr>
        <w:rFonts w:hint="default" w:ascii="Times New Roman" w:hAnsi="Times New Roman" w:cs="Times New Roman"/>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23DF"/>
    <w:rsid w:val="00062406"/>
    <w:rsid w:val="000E5938"/>
    <w:rsid w:val="00172A27"/>
    <w:rsid w:val="00190CD0"/>
    <w:rsid w:val="0024558C"/>
    <w:rsid w:val="0025454F"/>
    <w:rsid w:val="00324E45"/>
    <w:rsid w:val="004D3CD1"/>
    <w:rsid w:val="005C3515"/>
    <w:rsid w:val="00635052"/>
    <w:rsid w:val="00681409"/>
    <w:rsid w:val="006D5AEB"/>
    <w:rsid w:val="00711BA7"/>
    <w:rsid w:val="0073614F"/>
    <w:rsid w:val="00752808"/>
    <w:rsid w:val="007A59E8"/>
    <w:rsid w:val="007E34BE"/>
    <w:rsid w:val="007E614D"/>
    <w:rsid w:val="00800B33"/>
    <w:rsid w:val="008031FF"/>
    <w:rsid w:val="0081290B"/>
    <w:rsid w:val="008A4F1E"/>
    <w:rsid w:val="008E2598"/>
    <w:rsid w:val="00900B6B"/>
    <w:rsid w:val="009F2548"/>
    <w:rsid w:val="009F6571"/>
    <w:rsid w:val="00B15A29"/>
    <w:rsid w:val="00B418EF"/>
    <w:rsid w:val="00B94806"/>
    <w:rsid w:val="00C441E4"/>
    <w:rsid w:val="00CA0726"/>
    <w:rsid w:val="00D05026"/>
    <w:rsid w:val="00D50B14"/>
    <w:rsid w:val="00E4764D"/>
    <w:rsid w:val="00E47E1C"/>
    <w:rsid w:val="00E522A4"/>
    <w:rsid w:val="00F41BF0"/>
    <w:rsid w:val="00F7452F"/>
    <w:rsid w:val="00FA206C"/>
    <w:rsid w:val="00FD797D"/>
    <w:rsid w:val="00FE6985"/>
    <w:rsid w:val="01543D39"/>
    <w:rsid w:val="01A72364"/>
    <w:rsid w:val="043E034A"/>
    <w:rsid w:val="07FA413F"/>
    <w:rsid w:val="08440C83"/>
    <w:rsid w:val="0A623BA0"/>
    <w:rsid w:val="0C155D47"/>
    <w:rsid w:val="0CA62F16"/>
    <w:rsid w:val="16AF4CDA"/>
    <w:rsid w:val="17081FF3"/>
    <w:rsid w:val="1A37028C"/>
    <w:rsid w:val="1C8E29A6"/>
    <w:rsid w:val="1CA60DFF"/>
    <w:rsid w:val="1D210235"/>
    <w:rsid w:val="204E00A8"/>
    <w:rsid w:val="2184267D"/>
    <w:rsid w:val="21A36387"/>
    <w:rsid w:val="252C7293"/>
    <w:rsid w:val="27216771"/>
    <w:rsid w:val="28072B90"/>
    <w:rsid w:val="29D93E92"/>
    <w:rsid w:val="2A430E46"/>
    <w:rsid w:val="2A9366E5"/>
    <w:rsid w:val="2B392430"/>
    <w:rsid w:val="2B89524A"/>
    <w:rsid w:val="2EFB094E"/>
    <w:rsid w:val="35385762"/>
    <w:rsid w:val="35695FC9"/>
    <w:rsid w:val="39974C2B"/>
    <w:rsid w:val="39B22608"/>
    <w:rsid w:val="3A3F0B1F"/>
    <w:rsid w:val="40BB3523"/>
    <w:rsid w:val="43825436"/>
    <w:rsid w:val="4383152C"/>
    <w:rsid w:val="43F44718"/>
    <w:rsid w:val="456E367D"/>
    <w:rsid w:val="4600174D"/>
    <w:rsid w:val="4621530D"/>
    <w:rsid w:val="46D0638C"/>
    <w:rsid w:val="47F76A9A"/>
    <w:rsid w:val="4A381337"/>
    <w:rsid w:val="4ABC6F6B"/>
    <w:rsid w:val="4C422A9E"/>
    <w:rsid w:val="4D82214F"/>
    <w:rsid w:val="4EC72333"/>
    <w:rsid w:val="4F261749"/>
    <w:rsid w:val="50A26A98"/>
    <w:rsid w:val="54F27A1B"/>
    <w:rsid w:val="5A8B7835"/>
    <w:rsid w:val="5D4C072E"/>
    <w:rsid w:val="5D67302B"/>
    <w:rsid w:val="5E441BB3"/>
    <w:rsid w:val="5FAB1648"/>
    <w:rsid w:val="60F71477"/>
    <w:rsid w:val="61170244"/>
    <w:rsid w:val="70023282"/>
    <w:rsid w:val="72BE220F"/>
    <w:rsid w:val="72D23FD3"/>
    <w:rsid w:val="774A3EDE"/>
    <w:rsid w:val="77D22530"/>
    <w:rsid w:val="78771C2C"/>
    <w:rsid w:val="7A114844"/>
    <w:rsid w:val="7B9361F0"/>
    <w:rsid w:val="7BCD1198"/>
    <w:rsid w:val="7C3C7620"/>
    <w:rsid w:val="7CA30F2E"/>
    <w:rsid w:val="7E90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qFormat/>
    <w:uiPriority w:val="0"/>
    <w:rPr>
      <w:color w:val="0000FF"/>
      <w:u w:val="single"/>
    </w:rPr>
  </w:style>
  <w:style w:type="character" w:customStyle="1" w:styleId="10">
    <w:name w:val="批注框文本 字符"/>
    <w:basedOn w:val="8"/>
    <w:link w:val="2"/>
    <w:semiHidden/>
    <w:qFormat/>
    <w:uiPriority w:val="99"/>
    <w:rPr>
      <w:sz w:val="18"/>
      <w:szCs w:val="18"/>
    </w:rPr>
  </w:style>
  <w:style w:type="character" w:customStyle="1" w:styleId="11">
    <w:name w:val="页眉 字符"/>
    <w:basedOn w:val="8"/>
    <w:link w:val="4"/>
    <w:semiHidden/>
    <w:qFormat/>
    <w:uiPriority w:val="0"/>
    <w:rPr>
      <w:rFonts w:ascii="Calibri" w:hAnsi="Calibri"/>
      <w:kern w:val="2"/>
      <w:sz w:val="18"/>
      <w:szCs w:val="18"/>
    </w:rPr>
  </w:style>
  <w:style w:type="character" w:customStyle="1" w:styleId="12">
    <w:name w:val="页脚 字符"/>
    <w:basedOn w:val="8"/>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453</Words>
  <Characters>569</Characters>
  <Lines>4</Lines>
  <Paragraphs>1</Paragraphs>
  <TotalTime>2</TotalTime>
  <ScaleCrop>false</ScaleCrop>
  <LinksUpToDate>false</LinksUpToDate>
  <CharactersWithSpaces>613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2018-11-20T06:48:00Z</dcterms:created>
  <dc:creator>dadi</dc:creator>
  <cp:lastModifiedBy>江心秋月白</cp:lastModifiedBy>
  <dcterms:modified xsi:type="dcterms:W3CDTF">2021-03-22T08:11:09Z</dcterms:modified>
  <dc:title>Technical Data Sheet</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