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622" w:tblpY="514"/>
        <w:tblOverlap w:val="never"/>
        <w:tblW w:w="8903" w:type="dxa"/>
        <w:tblInd w:w="0" w:type="dxa"/>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2247"/>
        <w:gridCol w:w="4955"/>
      </w:tblGrid>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3948" w:type="dxa"/>
            <w:gridSpan w:val="2"/>
            <w:tcBorders>
              <w:top w:val="single" w:color="000000" w:sz="12" w:space="0"/>
              <w:bottom w:val="single" w:color="000000" w:sz="12" w:space="0"/>
              <w:right w:val="nil"/>
            </w:tcBorders>
            <w:vAlign w:val="center"/>
          </w:tcPr>
          <w:p>
            <w:pPr>
              <w:rPr>
                <w:rFonts w:ascii="Arial" w:hAnsi="Arial" w:cs="Arial"/>
                <w:b/>
                <w:sz w:val="30"/>
                <w:szCs w:val="30"/>
                <w:lang w:val="en-US"/>
              </w:rPr>
            </w:pPr>
            <w:r>
              <w:rPr>
                <w:rFonts w:ascii="Arial" w:hAnsi="Arial" w:cs="Arial"/>
                <w:b/>
                <w:sz w:val="30"/>
                <w:szCs w:val="30"/>
              </w:rPr>
              <w:t>Actmix</w:t>
            </w:r>
            <w:r>
              <w:rPr>
                <w:rFonts w:hint="eastAsia" w:ascii="Arial" w:hAnsi="Arial" w:cs="Arial"/>
                <w:b/>
                <w:sz w:val="30"/>
                <w:szCs w:val="30"/>
                <w:vertAlign w:val="superscript"/>
                <w:lang w:val="en-US" w:eastAsia="zh-CN"/>
              </w:rPr>
              <w:t xml:space="preserve">  </w:t>
            </w:r>
            <w:r>
              <w:rPr>
                <w:rFonts w:hint="eastAsia" w:ascii="Arial" w:hAnsi="Arial" w:cs="Arial"/>
                <w:b/>
                <w:sz w:val="30"/>
                <w:szCs w:val="30"/>
                <w:lang w:val="en-US" w:eastAsia="zh-CN"/>
              </w:rPr>
              <w:t xml:space="preserve">PTC-G </w:t>
            </w:r>
          </w:p>
        </w:tc>
        <w:tc>
          <w:tcPr>
            <w:tcW w:w="4955" w:type="dxa"/>
            <w:tcBorders>
              <w:top w:val="single" w:color="000000" w:sz="12" w:space="0"/>
              <w:left w:val="nil"/>
              <w:bottom w:val="single" w:color="000000" w:sz="12" w:space="0"/>
            </w:tcBorders>
            <w:vAlign w:val="center"/>
          </w:tcPr>
          <w:p>
            <w:pPr>
              <w:rPr>
                <w:rFonts w:hint="eastAsia" w:ascii="Times New Roman" w:hAnsi="Times New Roman"/>
                <w:sz w:val="30"/>
                <w:szCs w:val="30"/>
              </w:rPr>
            </w:pPr>
            <w:r>
              <w:rPr>
                <w:rFonts w:hint="eastAsia" w:ascii="Times New Roman" w:hAnsi="Times New Roman"/>
                <w:sz w:val="30"/>
                <w:szCs w:val="30"/>
                <w:lang w:val="en-US" w:eastAsia="zh-CN"/>
              </w:rPr>
              <w:t xml:space="preserve">          </w:t>
            </w:r>
            <w:r>
              <w:rPr>
                <w:rFonts w:hint="eastAsia" w:ascii="Times New Roman" w:hAnsi="Times New Roman"/>
                <w:sz w:val="30"/>
                <w:szCs w:val="30"/>
              </w:rPr>
              <w:t>预分散橡胶</w:t>
            </w:r>
            <w:r>
              <w:rPr>
                <w:rFonts w:hint="eastAsia" w:ascii="Times New Roman" w:hAnsi="Times New Roman"/>
                <w:sz w:val="30"/>
                <w:szCs w:val="30"/>
                <w:lang w:eastAsia="zh-CN"/>
              </w:rPr>
              <w:t>硫化剂</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701" w:type="dxa"/>
            <w:tcBorders>
              <w:top w:val="single" w:color="000000" w:sz="12" w:space="0"/>
              <w:left w:val="nil"/>
              <w:bottom w:val="single" w:color="000000" w:sz="12" w:space="0"/>
              <w:right w:val="nil"/>
            </w:tcBorders>
            <w:vAlign w:val="center"/>
          </w:tcPr>
          <w:p>
            <w:pPr>
              <w:spacing w:line="240" w:lineRule="auto"/>
              <w:rPr>
                <w:rFonts w:ascii="Times New Roman" w:hAnsi="Times New Roman"/>
                <w:b/>
                <w:sz w:val="24"/>
                <w:szCs w:val="24"/>
              </w:rPr>
            </w:pPr>
            <w:r>
              <w:rPr>
                <w:rFonts w:hint="eastAsia" w:ascii="Times New Roman" w:hAnsi="Times New Roman"/>
                <w:b/>
                <w:sz w:val="24"/>
                <w:szCs w:val="24"/>
              </w:rPr>
              <w:t>功能</w:t>
            </w:r>
          </w:p>
        </w:tc>
        <w:tc>
          <w:tcPr>
            <w:tcW w:w="7202" w:type="dxa"/>
            <w:gridSpan w:val="2"/>
            <w:tcBorders>
              <w:top w:val="single" w:color="000000" w:sz="12" w:space="0"/>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硫化剂</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vMerge w:val="restart"/>
            <w:tcBorders>
              <w:top w:val="single" w:color="000000" w:sz="12" w:space="0"/>
              <w:left w:val="nil"/>
              <w:bottom w:val="single" w:color="000000" w:sz="4" w:space="0"/>
              <w:right w:val="nil"/>
            </w:tcBorders>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b/>
                <w:sz w:val="24"/>
                <w:szCs w:val="24"/>
              </w:rPr>
            </w:pPr>
            <w:r>
              <w:rPr>
                <w:rFonts w:hint="eastAsia" w:ascii="Times New Roman" w:hAnsi="Times New Roman"/>
                <w:b/>
                <w:sz w:val="24"/>
                <w:szCs w:val="24"/>
              </w:rPr>
              <w:t>产品说明</w:t>
            </w:r>
          </w:p>
        </w:tc>
        <w:tc>
          <w:tcPr>
            <w:tcW w:w="2247" w:type="dxa"/>
            <w:tcBorders>
              <w:top w:val="single" w:color="000000"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组成：</w:t>
            </w:r>
          </w:p>
        </w:tc>
        <w:tc>
          <w:tcPr>
            <w:tcW w:w="4955" w:type="dxa"/>
            <w:tcBorders>
              <w:top w:val="single" w:color="000000"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before="78" w:beforeLines="25"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N,N'-间苯撑双马来酰亚胺、次磺酰胺、秋兰姆</w:t>
            </w:r>
            <w:r>
              <w:rPr>
                <w:rFonts w:hint="default" w:ascii="Times New Roman" w:hAnsi="Times New Roman" w:cs="Times New Roman"/>
                <w:sz w:val="24"/>
                <w:szCs w:val="24"/>
                <w:lang w:val="en-US" w:eastAsia="zh-CN"/>
              </w:rPr>
              <w:t>和</w:t>
            </w:r>
            <w:r>
              <w:rPr>
                <w:rFonts w:hint="default" w:ascii="Times New Roman" w:hAnsi="Times New Roman" w:cs="Times New Roman"/>
                <w:sz w:val="24"/>
                <w:szCs w:val="24"/>
                <w:lang w:eastAsia="zh-CN"/>
              </w:rPr>
              <w:t>预分散</w:t>
            </w:r>
            <w:r>
              <w:rPr>
                <w:rFonts w:hint="default" w:ascii="Times New Roman" w:hAnsi="Times New Roman" w:cs="Times New Roman"/>
                <w:sz w:val="24"/>
                <w:szCs w:val="24"/>
              </w:rPr>
              <w:t>橡胶载体</w:t>
            </w:r>
            <w:r>
              <w:rPr>
                <w:rFonts w:hint="eastAsia" w:ascii="Times New Roman" w:hAnsi="Times New Roman" w:cs="Times New Roman"/>
                <w:sz w:val="24"/>
                <w:szCs w:val="24"/>
                <w:lang w:eastAsia="zh-CN"/>
              </w:rPr>
              <w:t>的增效组合</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701" w:type="dxa"/>
            <w:vMerge w:val="continue"/>
            <w:tcBorders>
              <w:top w:val="single" w:color="000000" w:sz="4" w:space="0"/>
              <w:left w:val="nil"/>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snapToGrid/>
              <w:spacing w:beforeLines="100" w:afterLines="50" w:line="288" w:lineRule="auto"/>
              <w:textAlignment w:val="auto"/>
              <w:rPr>
                <w:rFonts w:ascii="Times New Roman" w:hAnsi="Times New Roman"/>
                <w:b/>
                <w:sz w:val="24"/>
                <w:szCs w:val="24"/>
              </w:rPr>
            </w:pPr>
          </w:p>
        </w:tc>
        <w:tc>
          <w:tcPr>
            <w:tcW w:w="224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外观：</w:t>
            </w:r>
          </w:p>
        </w:tc>
        <w:tc>
          <w:tcPr>
            <w:tcW w:w="495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val="en-US" w:eastAsia="zh-CN"/>
              </w:rPr>
            </w:pPr>
            <w:r>
              <w:rPr>
                <w:rFonts w:hint="eastAsia" w:ascii="Times New Roman" w:hAnsi="Times New Roman"/>
                <w:sz w:val="24"/>
                <w:szCs w:val="24"/>
                <w:lang w:val="en-US" w:eastAsia="zh-CN"/>
              </w:rPr>
              <w:t>灰黄色颗粒</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701" w:type="dxa"/>
            <w:vMerge w:val="continue"/>
            <w:tcBorders>
              <w:top w:val="single" w:color="000000" w:sz="4" w:space="0"/>
              <w:left w:val="nil"/>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snapToGrid/>
              <w:spacing w:beforeLines="100" w:afterLines="50" w:line="288" w:lineRule="auto"/>
              <w:textAlignment w:val="auto"/>
              <w:rPr>
                <w:rFonts w:ascii="Times New Roman" w:hAnsi="Times New Roman"/>
                <w:b/>
                <w:sz w:val="24"/>
                <w:szCs w:val="24"/>
              </w:rPr>
            </w:pPr>
          </w:p>
        </w:tc>
        <w:tc>
          <w:tcPr>
            <w:tcW w:w="224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密度（20 °C）：</w:t>
            </w:r>
          </w:p>
        </w:tc>
        <w:tc>
          <w:tcPr>
            <w:tcW w:w="495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vertAlign w:val="superscript"/>
              </w:rPr>
            </w:pPr>
            <w:r>
              <w:rPr>
                <w:rFonts w:hint="default" w:ascii="Times New Roman" w:hAnsi="Times New Roman" w:cs="Times New Roman"/>
                <w:sz w:val="24"/>
                <w:szCs w:val="24"/>
                <w:lang w:val="en-US" w:eastAsia="zh-CN"/>
              </w:rPr>
              <w:t>约</w:t>
            </w:r>
            <w:r>
              <w:rPr>
                <w:rFonts w:hint="eastAsia" w:ascii="Times New Roman" w:hAnsi="Times New Roman" w:cs="Times New Roman"/>
                <w:sz w:val="24"/>
                <w:szCs w:val="24"/>
                <w:highlight w:val="none"/>
                <w:lang w:val="en-US" w:eastAsia="zh-CN"/>
              </w:rPr>
              <w:t>1.0</w:t>
            </w:r>
            <w:r>
              <w:rPr>
                <w:rFonts w:hint="default" w:ascii="Times New Roman" w:hAnsi="Times New Roman" w:cs="Times New Roman"/>
                <w:sz w:val="24"/>
                <w:szCs w:val="24"/>
              </w:rPr>
              <w:t>g/cm</w:t>
            </w:r>
            <w:r>
              <w:rPr>
                <w:rFonts w:hint="default" w:ascii="Times New Roman" w:hAnsi="Times New Roman" w:cs="Times New Roman"/>
                <w:sz w:val="24"/>
                <w:szCs w:val="24"/>
                <w:vertAlign w:val="superscript"/>
              </w:rPr>
              <w:t>3</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701" w:type="dxa"/>
            <w:vMerge w:val="continue"/>
            <w:tcBorders>
              <w:top w:val="single" w:color="000000" w:sz="4" w:space="0"/>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beforeLines="100" w:afterLines="50" w:line="288" w:lineRule="auto"/>
              <w:textAlignment w:val="auto"/>
              <w:rPr>
                <w:rFonts w:ascii="Times New Roman" w:hAnsi="Times New Roman"/>
                <w:b/>
                <w:sz w:val="24"/>
                <w:szCs w:val="24"/>
              </w:rPr>
            </w:pPr>
          </w:p>
        </w:tc>
        <w:tc>
          <w:tcPr>
            <w:tcW w:w="2247" w:type="dxa"/>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sz w:val="24"/>
                <w:szCs w:val="24"/>
              </w:rPr>
            </w:pPr>
            <w:r>
              <w:rPr>
                <w:rFonts w:hint="eastAsia" w:ascii="Times New Roman" w:hAnsi="Times New Roman"/>
                <w:sz w:val="24"/>
                <w:szCs w:val="24"/>
              </w:rPr>
              <w:t>安全特性：</w:t>
            </w:r>
          </w:p>
        </w:tc>
        <w:tc>
          <w:tcPr>
            <w:tcW w:w="4955" w:type="dxa"/>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sz w:val="24"/>
                <w:szCs w:val="24"/>
              </w:rPr>
            </w:pPr>
            <w:r>
              <w:rPr>
                <w:rFonts w:hint="eastAsia" w:ascii="Times New Roman" w:hAnsi="Times New Roman"/>
                <w:sz w:val="24"/>
                <w:szCs w:val="24"/>
              </w:rPr>
              <w:t>参照安全数据表</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1" w:type="dxa"/>
            <w:tcBorders>
              <w:top w:val="single" w:color="000000" w:sz="12" w:space="0"/>
              <w:left w:val="nil"/>
              <w:bottom w:val="single" w:color="000000" w:sz="12" w:space="0"/>
              <w:right w:val="nil"/>
            </w:tcBorders>
            <w:vAlign w:val="center"/>
          </w:tcPr>
          <w:p>
            <w:pPr>
              <w:spacing w:line="360" w:lineRule="auto"/>
              <w:rPr>
                <w:rFonts w:hint="eastAsia" w:ascii="Times New Roman" w:hAnsi="Times New Roman" w:eastAsia="宋体"/>
                <w:b/>
                <w:sz w:val="24"/>
                <w:szCs w:val="24"/>
                <w:lang w:val="en-US" w:eastAsia="zh-CN"/>
              </w:rPr>
            </w:pPr>
            <w:r>
              <w:rPr>
                <w:rFonts w:hint="eastAsia" w:ascii="Times New Roman" w:hAnsi="Times New Roman"/>
                <w:b/>
                <w:sz w:val="24"/>
                <w:szCs w:val="24"/>
                <w:lang w:val="en-US" w:eastAsia="zh-CN"/>
              </w:rPr>
              <w:t>应用资料</w:t>
            </w:r>
          </w:p>
        </w:tc>
        <w:tc>
          <w:tcPr>
            <w:tcW w:w="7202" w:type="dxa"/>
            <w:gridSpan w:val="2"/>
            <w:tcBorders>
              <w:top w:val="single" w:color="000000" w:sz="12" w:space="0"/>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sz w:val="24"/>
                <w:szCs w:val="24"/>
              </w:rPr>
            </w:pP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701" w:type="dxa"/>
            <w:tcBorders>
              <w:top w:val="single" w:color="000000"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sz w:val="24"/>
                <w:szCs w:val="24"/>
              </w:rPr>
            </w:pPr>
            <w:r>
              <w:rPr>
                <w:rFonts w:hint="eastAsia" w:ascii="Times New Roman" w:hAnsi="Times New Roman"/>
                <w:sz w:val="24"/>
                <w:szCs w:val="24"/>
                <w:lang w:val="en-US" w:eastAsia="zh-CN"/>
              </w:rPr>
              <w:t>用途</w:t>
            </w:r>
            <w:r>
              <w:rPr>
                <w:rFonts w:hint="eastAsia" w:ascii="Times New Roman" w:hAnsi="Times New Roman"/>
                <w:sz w:val="24"/>
                <w:szCs w:val="24"/>
              </w:rPr>
              <w:t>：</w:t>
            </w:r>
          </w:p>
        </w:tc>
        <w:tc>
          <w:tcPr>
            <w:tcW w:w="7202" w:type="dxa"/>
            <w:gridSpan w:val="2"/>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Cs/>
                <w:sz w:val="24"/>
                <w:szCs w:val="24"/>
                <w:lang w:val="en-US" w:eastAsia="zh-CN"/>
              </w:rPr>
              <w:t>Actmix</w:t>
            </w:r>
            <w:r>
              <w:rPr>
                <w:rFonts w:hint="eastAsia" w:ascii="Times New Roman" w:hAnsi="Times New Roman" w:cs="Times New Roman"/>
                <w:bCs/>
                <w:sz w:val="24"/>
                <w:szCs w:val="24"/>
                <w:lang w:val="en-US" w:eastAsia="zh-CN"/>
              </w:rPr>
              <w:t xml:space="preserve"> PTC-G是一种由</w:t>
            </w:r>
            <w:r>
              <w:rPr>
                <w:rFonts w:hint="eastAsia" w:ascii="Times New Roman" w:hAnsi="Times New Roman" w:cs="Times New Roman"/>
                <w:sz w:val="24"/>
                <w:szCs w:val="24"/>
                <w:lang w:eastAsia="zh-CN"/>
              </w:rPr>
              <w:t>N,N'-间苯撑双马来酰亚胺</w:t>
            </w:r>
            <w:r>
              <w:rPr>
                <w:rFonts w:hint="eastAsia"/>
                <w:sz w:val="24"/>
                <w:szCs w:val="24"/>
              </w:rPr>
              <w:t>、次磺酰胺类和秋兰姆类促进剂组成</w:t>
            </w:r>
            <w:r>
              <w:rPr>
                <w:rFonts w:hint="eastAsia"/>
                <w:sz w:val="24"/>
                <w:szCs w:val="24"/>
                <w:lang w:eastAsia="zh-CN"/>
              </w:rPr>
              <w:t>的复合硫化剂</w:t>
            </w:r>
            <w:r>
              <w:rPr>
                <w:rFonts w:hint="eastAsia"/>
                <w:sz w:val="24"/>
                <w:szCs w:val="24"/>
              </w:rPr>
              <w:t>，与硫磺并用硫化二烯类橡胶，如天然橡胶、丁苯橡胶、合成异戊橡胶等。具有延长焦烧时间、胶料的耐热性好、抗硫化返原性好、压缩永久变形小以及与浸胶帘线粘合强度高的优点。</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01"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sz w:val="24"/>
                <w:szCs w:val="24"/>
              </w:rPr>
            </w:pPr>
            <w:r>
              <w:rPr>
                <w:rFonts w:hint="eastAsia" w:ascii="Times New Roman" w:hAnsi="Times New Roman"/>
                <w:sz w:val="24"/>
                <w:szCs w:val="24"/>
              </w:rPr>
              <w:t>用量：</w:t>
            </w:r>
          </w:p>
        </w:tc>
        <w:tc>
          <w:tcPr>
            <w:tcW w:w="7202"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通常情况下，加入量为</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val="en-US" w:eastAsia="zh-CN"/>
              </w:rPr>
              <w:t xml:space="preserve"> phr。</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01" w:type="dxa"/>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应用</w:t>
            </w:r>
          </w:p>
        </w:tc>
        <w:tc>
          <w:tcPr>
            <w:tcW w:w="7202" w:type="dxa"/>
            <w:gridSpan w:val="2"/>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eastAsia"/>
                <w:sz w:val="24"/>
                <w:szCs w:val="24"/>
              </w:rPr>
              <w:t>适用于大型轮胎、护舷以及尺寸和厚度较大的橡胶制品高温硫化。</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01" w:type="dxa"/>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sz w:val="24"/>
                <w:szCs w:val="24"/>
              </w:rPr>
            </w:pPr>
            <w:r>
              <w:rPr>
                <w:rFonts w:hint="eastAsia" w:ascii="Times New Roman" w:hAnsi="Times New Roman"/>
                <w:sz w:val="24"/>
                <w:szCs w:val="24"/>
              </w:rPr>
              <w:t>包装：</w:t>
            </w:r>
          </w:p>
        </w:tc>
        <w:tc>
          <w:tcPr>
            <w:tcW w:w="7202" w:type="dxa"/>
            <w:gridSpan w:val="2"/>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内衬PE袋的纸箱，每箱净重2</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KG；</w:t>
            </w:r>
            <w:r>
              <w:rPr>
                <w:rFonts w:hint="eastAsia" w:ascii="Times New Roman" w:hAnsi="Times New Roman" w:cs="Times New Roman"/>
                <w:sz w:val="24"/>
                <w:szCs w:val="24"/>
                <w:lang w:val="en-US" w:eastAsia="zh-CN"/>
              </w:rPr>
              <w:t>60</w:t>
            </w:r>
            <w:r>
              <w:rPr>
                <w:rFonts w:hint="default" w:ascii="Times New Roman" w:hAnsi="Times New Roman" w:cs="Times New Roman"/>
                <w:sz w:val="24"/>
                <w:szCs w:val="24"/>
                <w:lang w:val="en-US" w:eastAsia="zh-CN"/>
              </w:rPr>
              <w:t>0</w:t>
            </w:r>
            <w:r>
              <w:rPr>
                <w:rFonts w:hint="default" w:ascii="Times New Roman" w:hAnsi="Times New Roman" w:cs="Times New Roman"/>
                <w:sz w:val="24"/>
                <w:szCs w:val="24"/>
              </w:rPr>
              <w:t>公斤/托盘。</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01"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sz w:val="24"/>
                <w:szCs w:val="24"/>
              </w:rPr>
            </w:pPr>
            <w:r>
              <w:rPr>
                <w:rFonts w:hint="eastAsia" w:ascii="Times New Roman" w:hAnsi="Times New Roman"/>
                <w:sz w:val="24"/>
                <w:szCs w:val="24"/>
              </w:rPr>
              <w:t>储存稳定性：</w:t>
            </w:r>
          </w:p>
        </w:tc>
        <w:tc>
          <w:tcPr>
            <w:tcW w:w="7202"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密封储存在阴凉、干燥、通风良好的地方，建议产品保存期限为</w:t>
            </w:r>
            <w:r>
              <w:rPr>
                <w:rFonts w:hint="eastAsia" w:ascii="Times New Roman" w:hAnsi="Times New Roman" w:cs="Times New Roman"/>
                <w:sz w:val="24"/>
                <w:szCs w:val="24"/>
                <w:lang w:eastAsia="zh-CN"/>
              </w:rPr>
              <w:t>一</w:t>
            </w:r>
            <w:r>
              <w:rPr>
                <w:rFonts w:hint="default" w:ascii="Times New Roman" w:hAnsi="Times New Roman" w:cs="Times New Roman"/>
                <w:sz w:val="24"/>
                <w:szCs w:val="24"/>
              </w:rPr>
              <w:t>年。</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01" w:type="dxa"/>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sz w:val="24"/>
                <w:szCs w:val="24"/>
              </w:rPr>
            </w:pPr>
            <w:r>
              <w:rPr>
                <w:rFonts w:hint="eastAsia" w:ascii="Times New Roman" w:hAnsi="Times New Roman"/>
                <w:sz w:val="24"/>
                <w:szCs w:val="24"/>
              </w:rPr>
              <w:t>处置：</w:t>
            </w:r>
          </w:p>
        </w:tc>
        <w:tc>
          <w:tcPr>
            <w:tcW w:w="7202" w:type="dxa"/>
            <w:gridSpan w:val="2"/>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在橡胶加工过程中化学添加剂的工作区域建议抽风排气，更进一步的处置资料请参考</w:t>
            </w:r>
            <w:r>
              <w:rPr>
                <w:rFonts w:hint="default" w:ascii="Times New Roman" w:hAnsi="Times New Roman" w:cs="Times New Roman"/>
                <w:bCs/>
                <w:sz w:val="24"/>
                <w:szCs w:val="24"/>
                <w:lang w:val="en-US" w:eastAsia="zh-CN"/>
              </w:rPr>
              <w:t>Actmix</w:t>
            </w:r>
            <w:r>
              <w:rPr>
                <w:rFonts w:hint="eastAsia" w:ascii="Times New Roman" w:hAnsi="Times New Roman" w:cs="Times New Roman"/>
                <w:bCs/>
                <w:sz w:val="24"/>
                <w:szCs w:val="24"/>
                <w:lang w:val="en-US" w:eastAsia="zh-CN"/>
              </w:rPr>
              <w:t xml:space="preserve"> PTC-G</w:t>
            </w:r>
            <w:r>
              <w:rPr>
                <w:rFonts w:hint="default" w:ascii="Times New Roman" w:hAnsi="Times New Roman" w:cs="Times New Roman"/>
                <w:sz w:val="24"/>
                <w:szCs w:val="24"/>
              </w:rPr>
              <w:t>的安全数据表。</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2" w:hRule="atLeast"/>
        </w:trPr>
        <w:tc>
          <w:tcPr>
            <w:tcW w:w="8903" w:type="dxa"/>
            <w:gridSpan w:val="3"/>
            <w:tcBorders>
              <w:top w:val="single" w:color="000000" w:sz="12" w:space="0"/>
              <w:left w:val="nil"/>
              <w:bottom w:val="nil"/>
              <w:right w:val="nil"/>
            </w:tcBorders>
            <w:vAlign w:val="center"/>
          </w:tcPr>
          <w:p>
            <w:pPr>
              <w:spacing w:line="252" w:lineRule="auto"/>
              <w:rPr>
                <w:rFonts w:hAnsi="宋体"/>
                <w:sz w:val="18"/>
                <w:szCs w:val="18"/>
              </w:rPr>
            </w:pPr>
            <w:r>
              <w:rPr>
                <w:rFonts w:hint="eastAsia" w:hAnsi="宋体"/>
                <w:sz w:val="18"/>
                <w:szCs w:val="18"/>
                <w:lang w:eastAsia="zh-CN"/>
              </w:rPr>
              <w:tab/>
            </w:r>
          </w:p>
          <w:p>
            <w:pPr>
              <w:spacing w:line="252" w:lineRule="auto"/>
              <w:rPr>
                <w:rFonts w:hAnsi="宋体"/>
                <w:sz w:val="18"/>
                <w:szCs w:val="18"/>
              </w:rPr>
            </w:pPr>
            <w:r>
              <w:rPr>
                <w:rFonts w:hAnsi="宋体"/>
                <w:sz w:val="18"/>
                <w:szCs w:val="18"/>
              </w:rPr>
              <w:t>本产品信息出自我司实验室和所参考的文献资料，因此并不能形成法律效力、或并不能意味着保证或承诺客户在根据自己的配方应用本品的成功性。但是我司会最大程度地在技术上做好专业服务，以方便客户达到其应用本产品的预期目的。</w:t>
            </w:r>
            <w:bookmarkStart w:id="0" w:name="_GoBack"/>
            <w:bookmarkEnd w:id="0"/>
          </w:p>
          <w:p>
            <w:pPr>
              <w:spacing w:line="252" w:lineRule="auto"/>
              <w:rPr>
                <w:rFonts w:hAnsi="宋体"/>
                <w:sz w:val="18"/>
                <w:szCs w:val="18"/>
              </w:rPr>
            </w:pP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903" w:type="dxa"/>
            <w:gridSpan w:val="3"/>
            <w:tcBorders>
              <w:top w:val="nil"/>
              <w:left w:val="nil"/>
              <w:bottom w:val="nil"/>
              <w:right w:val="nil"/>
            </w:tcBorders>
            <w:shd w:val="clear" w:color="auto" w:fill="00CC00"/>
            <w:vAlign w:val="center"/>
          </w:tcPr>
          <w:p>
            <w:pPr>
              <w:rPr>
                <w:rFonts w:ascii="Arial" w:hAnsi="Arial" w:cs="Arial"/>
                <w:b/>
                <w:bCs/>
                <w:color w:val="FFFFFF"/>
                <w:sz w:val="24"/>
                <w:szCs w:val="24"/>
              </w:rPr>
            </w:pPr>
            <w:r>
              <w:rPr>
                <w:rFonts w:hint="eastAsia" w:ascii="Arial" w:hAnsi="Arial" w:cs="Arial"/>
                <w:b/>
                <w:bCs/>
                <w:color w:val="FFFFFF"/>
                <w:sz w:val="24"/>
                <w:szCs w:val="24"/>
                <w:lang w:val="en-US" w:eastAsia="zh-CN"/>
              </w:rPr>
              <w:t xml:space="preserve"> Actmix  PTC-G       </w:t>
            </w:r>
            <w:r>
              <w:rPr>
                <w:rFonts w:hint="eastAsia" w:ascii="Arial" w:hAnsi="Arial" w:cs="Arial"/>
                <w:b/>
                <w:bCs/>
                <w:color w:val="FFFFFF"/>
                <w:sz w:val="24"/>
                <w:szCs w:val="24"/>
              </w:rPr>
              <w:t xml:space="preserve">             </w:t>
            </w:r>
            <w:r>
              <w:rPr>
                <w:rFonts w:hint="eastAsia" w:ascii="Arial" w:hAnsi="Arial" w:cs="Arial"/>
                <w:b/>
                <w:bCs/>
                <w:color w:val="FFFFFF"/>
                <w:sz w:val="24"/>
                <w:szCs w:val="24"/>
                <w:lang w:val="en-US" w:eastAsia="zh-CN"/>
              </w:rPr>
              <w:t xml:space="preserve"> </w:t>
            </w:r>
            <w:r>
              <w:rPr>
                <w:rFonts w:hint="eastAsia" w:ascii="Arial" w:hAnsi="Arial" w:cs="Arial"/>
                <w:b/>
                <w:bCs/>
                <w:color w:val="FFFFFF"/>
                <w:sz w:val="24"/>
                <w:szCs w:val="24"/>
              </w:rPr>
              <w:t xml:space="preserve"> </w:t>
            </w:r>
            <w:r>
              <w:rPr>
                <w:rFonts w:hint="eastAsia" w:ascii="Arial" w:hAnsi="Arial" w:cs="Arial"/>
                <w:b/>
                <w:bCs/>
                <w:color w:val="FFFFFF"/>
                <w:sz w:val="24"/>
                <w:szCs w:val="24"/>
                <w:lang w:val="en-US" w:eastAsia="zh-CN"/>
              </w:rPr>
              <w:t xml:space="preserve">     </w:t>
            </w:r>
            <w:r>
              <w:rPr>
                <w:rFonts w:hint="eastAsia" w:ascii="Arial" w:hAnsi="Arial" w:cs="Arial"/>
                <w:b/>
                <w:bCs/>
                <w:color w:val="FFFFFF"/>
                <w:szCs w:val="21"/>
              </w:rPr>
              <w:t xml:space="preserve">产品技术说明书（TDS） </w:t>
            </w:r>
            <w:r>
              <w:rPr>
                <w:rFonts w:hint="eastAsia" w:ascii="Arial" w:hAnsi="Arial" w:cs="Arial"/>
                <w:color w:val="FFFFFF"/>
                <w:szCs w:val="21"/>
              </w:rPr>
              <w:t>版本1.</w:t>
            </w:r>
            <w:r>
              <w:rPr>
                <w:rFonts w:hint="eastAsia" w:ascii="Arial" w:hAnsi="Arial" w:cs="Arial"/>
                <w:color w:val="FFFFFF"/>
                <w:szCs w:val="21"/>
                <w:lang w:val="en-US" w:eastAsia="zh-CN"/>
              </w:rPr>
              <w:t>4</w:t>
            </w:r>
          </w:p>
        </w:tc>
      </w:tr>
    </w:tbl>
    <w:p>
      <w:pPr>
        <w:spacing w:line="360" w:lineRule="auto"/>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ACT 76</w:t>
      </w:r>
    </w:p>
    <w:sectPr>
      <w:headerReference r:id="rId3" w:type="default"/>
      <w:footerReference r:id="rId4" w:type="default"/>
      <w:pgSz w:w="11906" w:h="16838"/>
      <w:pgMar w:top="1440" w:right="1800" w:bottom="1440" w:left="1800" w:header="1134" w:footer="116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新宋体" w:hAnsi="新宋体" w:eastAsia="新宋体" w:cs="Arial"/>
        <w:b/>
        <w:color w:val="008000"/>
        <w:sz w:val="44"/>
        <w:szCs w:val="44"/>
      </w:rPr>
    </w:pPr>
    <w:r>
      <w:rPr>
        <w:rFonts w:hint="eastAsia" w:ascii="Arial" w:hAnsi="Arial" w:eastAsia="新宋体" w:cs="Arial"/>
        <w:b/>
        <w:color w:val="008000"/>
        <w:sz w:val="44"/>
        <w:szCs w:val="44"/>
      </w:rPr>
      <w:t>宁波</w:t>
    </w:r>
    <w:r>
      <w:rPr>
        <w:rFonts w:hint="eastAsia" w:ascii="Arial" w:hAnsi="Arial" w:eastAsia="新宋体" w:cs="Arial"/>
        <w:b/>
        <w:color w:val="008000"/>
        <w:sz w:val="44"/>
        <w:szCs w:val="44"/>
        <w:lang w:eastAsia="zh-CN"/>
      </w:rPr>
      <w:t>艾克姆新材料股份</w:t>
    </w:r>
    <w:r>
      <w:rPr>
        <w:rFonts w:hint="eastAsia" w:ascii="Arial" w:hAnsi="Arial" w:eastAsia="新宋体" w:cs="Arial"/>
        <w:b/>
        <w:color w:val="008000"/>
        <w:sz w:val="44"/>
        <w:szCs w:val="44"/>
      </w:rPr>
      <w:t>有限公司</w:t>
    </w:r>
  </w:p>
  <w:p>
    <w:pPr>
      <w:pStyle w:val="3"/>
    </w:pPr>
    <w:r>
      <w:rPr>
        <w:rFonts w:hint="eastAsia" w:ascii="Arial" w:hAnsi="Arial" w:cs="Arial"/>
        <w:color w:val="008000"/>
        <w:kern w:val="0"/>
        <w:sz w:val="18"/>
        <w:szCs w:val="18"/>
      </w:rPr>
      <w:t>电话：</w:t>
    </w:r>
    <w:r>
      <w:rPr>
        <w:rFonts w:hint="eastAsia" w:ascii="Arial" w:hAnsi="Arial" w:cs="Arial"/>
        <w:color w:val="008000"/>
        <w:sz w:val="18"/>
        <w:szCs w:val="18"/>
      </w:rPr>
      <w:t>0</w:t>
    </w:r>
    <w:r>
      <w:rPr>
        <w:rFonts w:ascii="Arial" w:hAnsi="Arial" w:cs="Arial"/>
        <w:color w:val="008000"/>
        <w:sz w:val="18"/>
        <w:szCs w:val="18"/>
      </w:rPr>
      <w:t>574-</w:t>
    </w:r>
    <w:r>
      <w:rPr>
        <w:rFonts w:hint="eastAsia" w:ascii="Arial" w:hAnsi="Arial" w:cs="Arial"/>
        <w:color w:val="008000"/>
        <w:sz w:val="18"/>
        <w:szCs w:val="18"/>
      </w:rPr>
      <w:t xml:space="preserve">87468726  </w:t>
    </w:r>
    <w:r>
      <w:rPr>
        <w:rFonts w:hint="eastAsia" w:ascii="Arial" w:hAnsi="Arial" w:cs="Arial"/>
        <w:color w:val="008000"/>
        <w:kern w:val="0"/>
        <w:sz w:val="18"/>
        <w:szCs w:val="18"/>
      </w:rPr>
      <w:t>传真：</w:t>
    </w:r>
    <w:r>
      <w:rPr>
        <w:rFonts w:ascii="Arial" w:hAnsi="Arial" w:cs="Arial"/>
        <w:color w:val="008000"/>
        <w:sz w:val="18"/>
        <w:szCs w:val="18"/>
      </w:rPr>
      <w:t>0574-</w:t>
    </w:r>
    <w:r>
      <w:rPr>
        <w:rFonts w:hint="eastAsia" w:ascii="Arial" w:hAnsi="Arial" w:cs="Arial"/>
        <w:color w:val="008000"/>
        <w:sz w:val="18"/>
        <w:szCs w:val="18"/>
      </w:rPr>
      <w:t>88002102  Email：dychem@actmix.cn  网址：</w:t>
    </w:r>
    <w:r>
      <w:rPr>
        <w:rFonts w:ascii="Arial" w:hAnsi="Arial" w:cs="Arial"/>
        <w:color w:val="008000"/>
        <w:kern w:val="0"/>
        <w:sz w:val="18"/>
        <w:szCs w:val="18"/>
      </w:rPr>
      <w:t>www.actmix.</w:t>
    </w:r>
    <w:r>
      <w:rPr>
        <w:rFonts w:hint="eastAsia" w:ascii="Arial" w:hAnsi="Arial" w:cs="Arial"/>
        <w:color w:val="008000"/>
        <w:kern w:val="0"/>
        <w:sz w:val="18"/>
        <w:szCs w:val="18"/>
      </w:rPr>
      <w:t>cn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hint="eastAsia" w:ascii="Arial" w:hAnsi="Arial" w:cs="Arial"/>
        <w:sz w:val="30"/>
        <w:szCs w:val="30"/>
        <w:lang w:val="en-US" w:eastAsia="zh-CN"/>
      </w:rPr>
    </w:pPr>
    <w:r>
      <w:rPr>
        <w:rFonts w:ascii="Arial" w:hAnsi="Arial" w:cs="Arial"/>
        <w:sz w:val="30"/>
        <w:szCs w:val="30"/>
      </w:rPr>
      <w:t>Technical Data Sheet</w:t>
    </w:r>
    <w:r>
      <w:rPr>
        <w:rFonts w:ascii="Arial" w:hAnsi="Arial" w:cs="Arial"/>
        <w:sz w:val="30"/>
        <w:szCs w:val="30"/>
      </w:rPr>
      <w:drawing>
        <wp:anchor distT="0" distB="0" distL="114300" distR="114300" simplePos="0" relativeHeight="1024" behindDoc="0" locked="0" layoutInCell="1" allowOverlap="1">
          <wp:simplePos x="0" y="0"/>
          <wp:positionH relativeFrom="column">
            <wp:posOffset>3093720</wp:posOffset>
          </wp:positionH>
          <wp:positionV relativeFrom="paragraph">
            <wp:posOffset>-310515</wp:posOffset>
          </wp:positionV>
          <wp:extent cx="2305050" cy="657225"/>
          <wp:effectExtent l="0" t="0" r="11430" b="133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2305050" cy="657225"/>
                  </a:xfrm>
                  <a:prstGeom prst="rect">
                    <a:avLst/>
                  </a:prstGeom>
                  <a:noFill/>
                  <a:ln w="9525">
                    <a:noFill/>
                  </a:ln>
                </pic:spPr>
              </pic:pic>
            </a:graphicData>
          </a:graphic>
        </wp:anchor>
      </w:drawing>
    </w:r>
    <w:r>
      <w:rPr>
        <w:rFonts w:hint="eastAsia" w:ascii="Arial" w:hAnsi="Arial" w:cs="Arial"/>
        <w:sz w:val="30"/>
        <w:szCs w:val="30"/>
        <w:lang w:val="en-US" w:eastAsia="zh-CN"/>
      </w:rPr>
      <w:t xml:space="preserve"> </w:t>
    </w:r>
  </w:p>
  <w:p>
    <w:pPr>
      <w:pStyle w:val="4"/>
      <w:pBdr>
        <w:bottom w:val="none" w:color="auto" w:sz="0" w:space="1"/>
      </w:pBdr>
      <w:jc w:val="left"/>
      <w:rPr>
        <w:rFonts w:hint="eastAsia" w:ascii="Arial" w:hAnsi="Arial" w:cs="Arial"/>
        <w:sz w:val="30"/>
        <w:szCs w:val="30"/>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3DF"/>
    <w:rsid w:val="000E5938"/>
    <w:rsid w:val="001E51B9"/>
    <w:rsid w:val="0024558C"/>
    <w:rsid w:val="0025454F"/>
    <w:rsid w:val="00324E45"/>
    <w:rsid w:val="00681409"/>
    <w:rsid w:val="006D5AEB"/>
    <w:rsid w:val="0073614F"/>
    <w:rsid w:val="007E614D"/>
    <w:rsid w:val="008031FF"/>
    <w:rsid w:val="008A4F1E"/>
    <w:rsid w:val="00900B6B"/>
    <w:rsid w:val="00B418EF"/>
    <w:rsid w:val="00CA0726"/>
    <w:rsid w:val="00D05026"/>
    <w:rsid w:val="00E4764D"/>
    <w:rsid w:val="00E522A4"/>
    <w:rsid w:val="00F7452F"/>
    <w:rsid w:val="00FA206C"/>
    <w:rsid w:val="00FD797D"/>
    <w:rsid w:val="00FE6985"/>
    <w:rsid w:val="043E034A"/>
    <w:rsid w:val="0A623BA0"/>
    <w:rsid w:val="0C155D47"/>
    <w:rsid w:val="0E190A4E"/>
    <w:rsid w:val="15662325"/>
    <w:rsid w:val="157971C1"/>
    <w:rsid w:val="15964AE3"/>
    <w:rsid w:val="1D210235"/>
    <w:rsid w:val="2184267D"/>
    <w:rsid w:val="2276340F"/>
    <w:rsid w:val="266D5369"/>
    <w:rsid w:val="28072B90"/>
    <w:rsid w:val="2A7E6847"/>
    <w:rsid w:val="2DCF2773"/>
    <w:rsid w:val="3022694C"/>
    <w:rsid w:val="356631BB"/>
    <w:rsid w:val="35695FC9"/>
    <w:rsid w:val="37214052"/>
    <w:rsid w:val="39B22608"/>
    <w:rsid w:val="40B903EA"/>
    <w:rsid w:val="43825436"/>
    <w:rsid w:val="4383152C"/>
    <w:rsid w:val="4A381337"/>
    <w:rsid w:val="4C422A9E"/>
    <w:rsid w:val="4E38575A"/>
    <w:rsid w:val="4EC72333"/>
    <w:rsid w:val="502879F3"/>
    <w:rsid w:val="52055C54"/>
    <w:rsid w:val="55F02EDD"/>
    <w:rsid w:val="584610C8"/>
    <w:rsid w:val="59982995"/>
    <w:rsid w:val="5ED21583"/>
    <w:rsid w:val="5EF37D29"/>
    <w:rsid w:val="629936DA"/>
    <w:rsid w:val="63943D40"/>
    <w:rsid w:val="67051258"/>
    <w:rsid w:val="6B531674"/>
    <w:rsid w:val="6ECF58A1"/>
    <w:rsid w:val="70860D13"/>
    <w:rsid w:val="72BE220F"/>
    <w:rsid w:val="74731375"/>
    <w:rsid w:val="78771C2C"/>
    <w:rsid w:val="7BCD1198"/>
    <w:rsid w:val="7CBD115E"/>
    <w:rsid w:val="7F7E5D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unhideWhenUsed/>
    <w:qFormat/>
    <w:uiPriority w:val="0"/>
    <w:rPr>
      <w:color w:val="0000FF"/>
      <w:u w:val="single"/>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semiHidden/>
    <w:qFormat/>
    <w:uiPriority w:val="0"/>
    <w:rPr>
      <w:rFonts w:ascii="Calibri" w:hAnsi="Calibri"/>
      <w:kern w:val="2"/>
      <w:sz w:val="18"/>
      <w:szCs w:val="18"/>
    </w:rPr>
  </w:style>
  <w:style w:type="character" w:customStyle="1" w:styleId="11">
    <w:name w:val="页脚 Char"/>
    <w:basedOn w:val="7"/>
    <w:link w:val="3"/>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140</Words>
  <Characters>798</Characters>
  <Lines>6</Lines>
  <Paragraphs>1</Paragraphs>
  <TotalTime>1</TotalTime>
  <ScaleCrop>false</ScaleCrop>
  <LinksUpToDate>false</LinksUpToDate>
  <CharactersWithSpaces>937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2015-02-04T02:06:00Z</dcterms:created>
  <dc:creator>dadi</dc:creator>
  <cp:lastModifiedBy>江心秋月白</cp:lastModifiedBy>
  <dcterms:modified xsi:type="dcterms:W3CDTF">2021-03-13T07:35:35Z</dcterms:modified>
  <dc:title> Technical Data Sheet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